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a minimum list of software to get you started, and is digital preservation at its basic level. It is aimed a windows PC and requires no command line tools or knowledge. Some specialist formats and moder media types may require future software.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those who viewed the archivematica video in the last session will remember how many steps and tools are involved in digital preservation.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6262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all needs to be installed </w:t>
      </w:r>
      <w:r w:rsidDel="00000000" w:rsidR="00000000" w:rsidRPr="00000000">
        <w:rPr>
          <w:color w:val="26262a"/>
          <w:sz w:val="24"/>
          <w:szCs w:val="24"/>
          <w:rtl w:val="0"/>
        </w:rPr>
        <w:t xml:space="preserve">on a dedicated PC to connect to any storage media holding the digital content. Ideally, only connect it your organisation’s systems / internet to perform essential updates to systems.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Avg Antivirus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Antivirus software to protect PC when collections are added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https://www.avg.com/en-gb/homepage#pc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Exactly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Tool to transfer data locally and remotely. Also allows recipients to create customized metadata templates for senders to fill out before submission.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https://www.weareavp.com/products/exactly/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Teracopy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Copies digital content and checks complete identical copies were made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https://www.codesector.com/teracopy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AVP Fixity (Free unsupported version not pro)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Fixity is a free utility for automated monitoring and reporting on the data integrity of stored files.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https://lp.weareavp.com/products/fixity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Droid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color w:val="26262a"/>
          <w:sz w:val="24"/>
          <w:szCs w:val="24"/>
          <w:highlight w:val="white"/>
          <w:rtl w:val="0"/>
        </w:rPr>
        <w:t xml:space="preserve">identifies file format and other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https://www.nationalarchives.gov.uk/information-management/manage-information/preserving-digital-records/droid/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Jhove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validates certain file formats and also carries out identification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https://jhove.openpreservation.org/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jhove.openpreservation.org/" TargetMode="External"/><Relationship Id="rId10" Type="http://schemas.openxmlformats.org/officeDocument/2006/relationships/hyperlink" Target="https://www.nationalarchives.gov.uk/information-management/manage-information/preserving-digital-records/droid/" TargetMode="External"/><Relationship Id="rId9" Type="http://schemas.openxmlformats.org/officeDocument/2006/relationships/hyperlink" Target="https://lp.weareavp.com/products/fixity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vg.com/en-gb/homepage#pc" TargetMode="External"/><Relationship Id="rId7" Type="http://schemas.openxmlformats.org/officeDocument/2006/relationships/hyperlink" Target="https://www.weareavp.com/products/exactly/" TargetMode="External"/><Relationship Id="rId8" Type="http://schemas.openxmlformats.org/officeDocument/2006/relationships/hyperlink" Target="https://www.codesector.com/tera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